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1AC2BAF0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>t,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3B8A4DD3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D75DF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49BDB030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3AE3E94B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</w:t>
      </w:r>
      <w:r w:rsidR="006E372B">
        <w:rPr>
          <w:rFonts w:ascii="Arial" w:hAnsi="Arial" w:cs="Arial"/>
          <w:sz w:val="18"/>
          <w:szCs w:val="18"/>
          <w:lang w:val="hu-HU"/>
        </w:rPr>
        <w:t>.</w:t>
      </w:r>
      <w:r w:rsidRPr="001B77CF">
        <w:rPr>
          <w:rFonts w:ascii="Arial" w:hAnsi="Arial" w:cs="Arial"/>
          <w:sz w:val="18"/>
          <w:szCs w:val="18"/>
          <w:lang w:val="hu-HU"/>
        </w:rPr>
        <w:t xml:space="preserve">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költségek)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22B8E2FD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40982727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proofErr w:type="gramStart"/>
      <w:r w:rsidRPr="00CC1CA8">
        <w:rPr>
          <w:rFonts w:ascii="Arial" w:hAnsi="Arial" w:cs="Arial"/>
          <w:sz w:val="16"/>
          <w:szCs w:val="16"/>
          <w:lang w:val="hu-HU"/>
        </w:rPr>
        <w:t>Kelt :</w:t>
      </w:r>
      <w:proofErr w:type="gramEnd"/>
      <w:r w:rsidRPr="00CC1CA8">
        <w:rPr>
          <w:rFonts w:ascii="Arial" w:hAnsi="Arial" w:cs="Arial"/>
          <w:sz w:val="16"/>
          <w:szCs w:val="16"/>
          <w:lang w:val="hu-HU"/>
        </w:rPr>
        <w:t xml:space="preserve">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5C819A9D" w:rsidR="000D411D" w:rsidRDefault="000D411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73155C33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Pr="00C77FB7" w:rsidRDefault="00B15FBE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44166D74" w14:textId="77777777" w:rsidR="00C77FB7" w:rsidRPr="00D75DF9" w:rsidRDefault="00C77FB7" w:rsidP="00D75DF9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" w:name="pr2"/>
      <w:bookmarkStart w:id="2" w:name="_Toc165876113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1"/>
      <w:r w:rsidRPr="00D75DF9">
        <w:rPr>
          <w:rFonts w:ascii="Arial" w:hAnsi="Arial"/>
          <w:b/>
          <w:sz w:val="18"/>
          <w:lang w:val="x-none"/>
        </w:rPr>
        <w:t>H I R D E T M É N Y</w:t>
      </w:r>
      <w:bookmarkEnd w:id="2"/>
    </w:p>
    <w:p w14:paraId="389C5520" w14:textId="06401862" w:rsidR="00B52439" w:rsidRPr="007107FA" w:rsidRDefault="00B52439" w:rsidP="00B52439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Érvényes: 2025. július 1-től</w:t>
      </w:r>
      <w:r w:rsidRPr="00F324CB">
        <w:rPr>
          <w:rFonts w:ascii="Arial" w:hAnsi="Arial"/>
          <w:sz w:val="18"/>
          <w:vertAlign w:val="superscript"/>
          <w:lang w:val="hu-HU"/>
        </w:rPr>
        <w:footnoteReference w:id="5"/>
      </w:r>
      <w:r w:rsidRPr="007107FA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607A88DC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7E150C3" w14:textId="77777777" w:rsidR="00B52439" w:rsidRPr="007107FA" w:rsidRDefault="00B52439" w:rsidP="00F324CB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I.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79E437CE" w14:textId="77777777" w:rsidR="00B52439" w:rsidRPr="007107FA" w:rsidRDefault="00B52439" w:rsidP="00F324CB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433DDA6A" w14:textId="77777777" w:rsidR="00B52439" w:rsidRPr="007107FA" w:rsidRDefault="00B52439" w:rsidP="00F324CB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36F0E2A9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x-none"/>
        </w:rPr>
        <w:t>1.</w:t>
      </w:r>
      <w:r w:rsidRPr="007107FA">
        <w:rPr>
          <w:rFonts w:ascii="Arial" w:hAnsi="Arial" w:cs="Arial"/>
          <w:b/>
          <w:sz w:val="18"/>
          <w:szCs w:val="18"/>
          <w:lang w:val="x-none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107FA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107FA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5234322E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775DECF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3FF18BB5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08976CC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249F33FF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B52439" w:rsidRPr="001429DC" w14:paraId="06E9F3F9" w14:textId="77777777" w:rsidTr="004403F6">
        <w:trPr>
          <w:trHeight w:val="1016"/>
          <w:tblHeader/>
        </w:trPr>
        <w:tc>
          <w:tcPr>
            <w:tcW w:w="2122" w:type="dxa"/>
          </w:tcPr>
          <w:p w14:paraId="0A9A86D8" w14:textId="77777777" w:rsidR="00B52439" w:rsidRPr="007107FA" w:rsidRDefault="00B52439" w:rsidP="004403F6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533D1B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000B9F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F324CB">
              <w:rPr>
                <w:rFonts w:ascii="Arial" w:hAnsi="Arial"/>
                <w:sz w:val="18"/>
                <w:vertAlign w:val="superscript"/>
                <w:lang w:val="hu-HU"/>
              </w:rPr>
              <w:footnoteReference w:id="6"/>
            </w:r>
            <w:r w:rsidRPr="00F324CB">
              <w:rPr>
                <w:rFonts w:ascii="Arial" w:hAnsi="Arial"/>
                <w:b/>
                <w:sz w:val="18"/>
                <w:vertAlign w:val="superscript"/>
                <w:lang w:val="hu-HU"/>
              </w:rPr>
              <w:t xml:space="preserve"> </w:t>
            </w:r>
          </w:p>
        </w:tc>
      </w:tr>
      <w:tr w:rsidR="00B52439" w:rsidRPr="001429DC" w14:paraId="1CC54B7D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58414B62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BF5C3B8" w14:textId="6CC8E2B1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0,89%</w:t>
            </w:r>
          </w:p>
        </w:tc>
        <w:tc>
          <w:tcPr>
            <w:tcW w:w="3544" w:type="dxa"/>
            <w:vAlign w:val="center"/>
          </w:tcPr>
          <w:p w14:paraId="7E6250DE" w14:textId="71AD850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0,14%</w:t>
            </w:r>
          </w:p>
        </w:tc>
      </w:tr>
      <w:tr w:rsidR="00B52439" w:rsidRPr="001429DC" w14:paraId="44E1C1F5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57EDB12E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54B32972" w14:textId="28D4560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0,98%</w:t>
            </w:r>
          </w:p>
        </w:tc>
        <w:tc>
          <w:tcPr>
            <w:tcW w:w="3544" w:type="dxa"/>
            <w:vAlign w:val="center"/>
          </w:tcPr>
          <w:p w14:paraId="7849DE4A" w14:textId="74F4015C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0,23%</w:t>
            </w:r>
          </w:p>
        </w:tc>
      </w:tr>
      <w:tr w:rsidR="00B52439" w:rsidRPr="001429DC" w14:paraId="1C4A36A5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23DA9E43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14F6240B" w14:textId="4FE50B93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0,90%</w:t>
            </w:r>
          </w:p>
        </w:tc>
        <w:tc>
          <w:tcPr>
            <w:tcW w:w="3544" w:type="dxa"/>
            <w:vAlign w:val="center"/>
          </w:tcPr>
          <w:p w14:paraId="41D17A36" w14:textId="20F9E8A3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</w:tr>
      <w:tr w:rsidR="00B52439" w:rsidRPr="001429DC" w14:paraId="4DC9981E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661F274A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433296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49C9623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49DDA352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56CF5442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F324CB">
        <w:rPr>
          <w:rFonts w:ascii="Arial" w:hAnsi="Arial"/>
          <w:b/>
          <w:sz w:val="18"/>
          <w:vertAlign w:val="superscript"/>
          <w:lang w:val="hu-HU"/>
        </w:rPr>
        <w:footnoteReference w:id="7"/>
      </w:r>
    </w:p>
    <w:p w14:paraId="6AE04F27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A496994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2D642783" w14:textId="77777777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br w:type="page"/>
      </w:r>
    </w:p>
    <w:p w14:paraId="764C90C6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B52439" w:rsidRPr="001429DC" w14:paraId="2338C119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725AE10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376E4E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B52439" w:rsidRPr="001429DC" w14:paraId="1CEAAA15" w14:textId="77777777" w:rsidTr="004403F6">
        <w:trPr>
          <w:trHeight w:val="866"/>
        </w:trPr>
        <w:tc>
          <w:tcPr>
            <w:tcW w:w="3517" w:type="dxa"/>
            <w:vMerge w:val="restart"/>
            <w:vAlign w:val="center"/>
          </w:tcPr>
          <w:p w14:paraId="535498A0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6F7002F8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372EE3E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B52439" w:rsidRPr="001429DC" w14:paraId="7E5A5F70" w14:textId="77777777" w:rsidTr="004403F6">
        <w:trPr>
          <w:trHeight w:val="866"/>
        </w:trPr>
        <w:tc>
          <w:tcPr>
            <w:tcW w:w="3517" w:type="dxa"/>
            <w:vMerge/>
            <w:vAlign w:val="center"/>
          </w:tcPr>
          <w:p w14:paraId="718B96D5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132653DB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406BB061" w14:textId="77777777" w:rsidR="00B52439" w:rsidRPr="007107FA" w:rsidDel="00C4609D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52439" w:rsidRPr="001429DC" w14:paraId="68870C64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6C0C429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2D63CB9D" w14:textId="2E5E6DB6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52439" w:rsidRPr="001429DC" w14:paraId="5DD66641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1FF347A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5311682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051DB8A3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04103B4" w14:textId="77777777" w:rsidR="00B52439" w:rsidRPr="007107FA" w:rsidRDefault="00B52439" w:rsidP="00F324CB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7107FA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7107FA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3937FCF6" w14:textId="77777777" w:rsidR="00B52439" w:rsidRPr="007107FA" w:rsidRDefault="00B52439" w:rsidP="00F324CB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F04AC6" w14:textId="77777777" w:rsidR="00B52439" w:rsidRPr="007107FA" w:rsidRDefault="00B52439" w:rsidP="00B5243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16CDE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B52439" w:rsidRPr="001429DC" w:rsidDel="00E8532A" w14:paraId="17837EA0" w14:textId="77777777" w:rsidTr="00F324CB">
        <w:trPr>
          <w:trHeight w:val="866"/>
          <w:tblHeader/>
        </w:trPr>
        <w:tc>
          <w:tcPr>
            <w:tcW w:w="2689" w:type="dxa"/>
            <w:vAlign w:val="center"/>
          </w:tcPr>
          <w:p w14:paraId="2E6A3972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F324CB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3C2A981E" w14:textId="77777777" w:rsidR="00B52439" w:rsidRPr="007107FA" w:rsidDel="00E8532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491A783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7107FA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B52439" w:rsidRPr="001429DC" w14:paraId="4E427E34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2A9D780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61244F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5ED6A5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7015499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BB4483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634B978A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7F07B36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0FB3BD2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6C68A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42F755D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A5C38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5CE9532D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601867C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63913ED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24278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440E329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FB70FE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301A06E4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E28CBC5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7E1E5061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BFE975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2100D96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8A1BE9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B52439" w:rsidRPr="001429DC" w14:paraId="4FCDF827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18736B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6B4AD4C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0D2EA3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2670BBF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DE7C71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B52439" w:rsidRPr="001429DC" w14:paraId="662987C6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2BB5C37D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77196BA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43A5F5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2F427C2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4A196F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624AB568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671E47FF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2.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Pr="00F324CB">
        <w:rPr>
          <w:rFonts w:ascii="Arial" w:hAnsi="Arial"/>
          <w:b/>
          <w:sz w:val="18"/>
          <w:u w:val="single"/>
          <w:vertAlign w:val="superscript"/>
          <w:lang w:val="hu-HU"/>
        </w:rPr>
        <w:footnoteReference w:id="12"/>
      </w:r>
    </w:p>
    <w:p w14:paraId="0FBCED16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DE02A99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7107FA">
        <w:rPr>
          <w:rFonts w:ascii="Arial" w:hAnsi="Arial" w:cs="Arial"/>
          <w:iCs/>
          <w:sz w:val="18"/>
          <w:szCs w:val="18"/>
          <w:lang w:val="x-none"/>
        </w:rPr>
        <w:t>A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7107FA">
        <w:rPr>
          <w:rFonts w:ascii="Arial" w:hAnsi="Arial" w:cs="Arial"/>
          <w:iCs/>
          <w:sz w:val="18"/>
          <w:szCs w:val="18"/>
          <w:lang w:val="hu-HU"/>
        </w:rPr>
        <w:t>hitelekhez és lízingszerződésekhez</w:t>
      </w:r>
      <w:bookmarkStart w:id="16" w:name="_Hlk109900354"/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bookmarkEnd w:id="16"/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7107FA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7107FA">
        <w:rPr>
          <w:rFonts w:ascii="Arial" w:hAnsi="Arial" w:cs="Arial"/>
          <w:iCs/>
          <w:sz w:val="18"/>
          <w:szCs w:val="18"/>
          <w:lang w:val="hu-HU"/>
        </w:rPr>
        <w:t>a</w:t>
      </w:r>
      <w:r w:rsidRPr="007107FA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7107FA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7107FA">
        <w:rPr>
          <w:rFonts w:ascii="Arial" w:hAnsi="Arial" w:cs="Arial"/>
          <w:iCs/>
          <w:sz w:val="18"/>
          <w:szCs w:val="18"/>
          <w:lang w:val="x-none"/>
        </w:rPr>
        <w:t>.</w:t>
      </w:r>
      <w:r w:rsidRPr="007107FA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7107FA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7BCF25F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4F074A2" w14:textId="77777777" w:rsidR="00B52439" w:rsidRPr="007107FA" w:rsidRDefault="00B52439" w:rsidP="00F324CB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3.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27B74717" w14:textId="77777777" w:rsidR="00B52439" w:rsidRPr="007107FA" w:rsidRDefault="00B52439" w:rsidP="00B5243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D2F07D6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04C6559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DD8E18C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52439" w:rsidRPr="001429DC" w14:paraId="1315927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24518603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668EE5DF" w14:textId="77A3B74E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,89%</w:t>
            </w:r>
          </w:p>
        </w:tc>
      </w:tr>
      <w:tr w:rsidR="00B52439" w:rsidRPr="001429DC" w14:paraId="40388651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3DA10C77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66680945" w14:textId="5EBC2385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13E5658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53859AA1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4789FE16" w14:textId="3A3F5BED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3D6B6DB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27526EA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362B94C" w14:textId="2BB65FC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D5D5F98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29410E" w14:textId="2D0F6E5A" w:rsidR="00B52439" w:rsidRPr="00F324CB" w:rsidRDefault="00B52439" w:rsidP="00F324CB">
      <w:pPr>
        <w:spacing w:before="0" w:after="0"/>
        <w:ind w:left="0"/>
        <w:jc w:val="left"/>
        <w:rPr>
          <w:rFonts w:ascii="Arial" w:hAnsi="Arial"/>
          <w:b/>
          <w:spacing w:val="-6"/>
          <w:sz w:val="18"/>
          <w:lang w:val="hu-HU"/>
        </w:rPr>
      </w:pPr>
    </w:p>
    <w:p w14:paraId="63B19312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2E64035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52439" w:rsidRPr="001429DC" w14:paraId="37B67FA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4DE0E65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7F25BBF" w14:textId="0E841BA0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1,02%</w:t>
            </w:r>
          </w:p>
        </w:tc>
      </w:tr>
      <w:tr w:rsidR="00B52439" w:rsidRPr="001429DC" w14:paraId="0EFD7DB2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F4D397C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0A32CE2" w14:textId="7D24788D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2,11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1F3F70A8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2DCBD3DB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7F8B54C1" w14:textId="7B31B899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,90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B52439" w:rsidRPr="001429DC" w14:paraId="66E7530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5FD1948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107FA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063CD5EB" w14:textId="3D83BDB1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7107F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3698916" w14:textId="77777777" w:rsidR="00B52439" w:rsidRPr="007107FA" w:rsidRDefault="00B52439" w:rsidP="00F324CB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5EF16F27" w14:textId="77777777" w:rsidR="00962F79" w:rsidRDefault="00962F79">
      <w:pPr>
        <w:spacing w:before="0" w:after="0"/>
        <w:ind w:left="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  <w:r>
        <w:rPr>
          <w:rFonts w:ascii="Arial" w:hAnsi="Arial" w:cs="Arial"/>
          <w:b/>
          <w:bCs/>
          <w:sz w:val="18"/>
          <w:szCs w:val="18"/>
          <w:lang w:val="hu-HU"/>
        </w:rPr>
        <w:br w:type="page"/>
      </w:r>
    </w:p>
    <w:p w14:paraId="12BD04C2" w14:textId="593EF2B2" w:rsidR="00B52439" w:rsidRPr="007107FA" w:rsidRDefault="00B52439" w:rsidP="00F324CB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7107FA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7107FA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B52439" w:rsidRPr="001429DC" w:rsidDel="00E8532A" w14:paraId="2191AF36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86C524D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F324CB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6E9E4D47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4A079FFE" w14:textId="77777777" w:rsidR="00B52439" w:rsidRPr="007107FA" w:rsidDel="00E8532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B52439" w:rsidRPr="001429DC" w14:paraId="4C86401F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CFB7F95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075A7696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4840AE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A3BC93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B52439" w:rsidRPr="001429DC" w14:paraId="019B3BD5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5556D49B" w14:textId="77777777" w:rsidR="00B52439" w:rsidRPr="007107FA" w:rsidRDefault="00B52439" w:rsidP="00F324CB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7F2714FF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195D80E9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327314E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B52439" w:rsidRPr="001429DC" w14:paraId="4A0E9A29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B52FA39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79563E1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7C99C8EE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BE4FF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B52439" w:rsidRPr="001429DC" w14:paraId="27607832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2D3CF229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1622CB84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4FE6386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E0EC32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B52439" w:rsidRPr="001429DC" w14:paraId="5E33AD81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AEFDA46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1E958D8B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6A63C65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0BDD8D2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B52439" w:rsidRPr="001429DC" w14:paraId="44DDC50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F94170F" w14:textId="77777777" w:rsidR="00B52439" w:rsidRPr="00F324CB" w:rsidRDefault="00B52439" w:rsidP="00F324CB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F324CB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F459B8C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C6D48DD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7911BA0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0ADD9490" w14:textId="77777777" w:rsidR="00B52439" w:rsidRPr="007107FA" w:rsidRDefault="00B52439" w:rsidP="00F324CB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7199100E" w14:textId="44093575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1809EEB0" w14:textId="77777777" w:rsidR="00B52439" w:rsidRPr="007107FA" w:rsidRDefault="00B52439" w:rsidP="00B52439">
      <w:pPr>
        <w:shd w:val="clear" w:color="auto" w:fill="FFFFFF"/>
        <w:spacing w:before="0" w:after="60"/>
        <w:ind w:left="284" w:hanging="284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4.</w:t>
      </w:r>
      <w:r w:rsidRPr="007107FA">
        <w:rPr>
          <w:rFonts w:ascii="Arial" w:hAnsi="Arial" w:cs="Arial"/>
          <w:b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Agrár Széchenyi Újraindítási Beruházási Hitel Program</w:t>
      </w:r>
      <w:r w:rsidRPr="00F324CB">
        <w:rPr>
          <w:rFonts w:ascii="Arial" w:hAnsi="Arial"/>
          <w:b/>
          <w:spacing w:val="-3"/>
          <w:sz w:val="18"/>
          <w:u w:val="single"/>
          <w:lang w:val="hu-HU"/>
        </w:rPr>
        <w:t xml:space="preserve"> </w:t>
      </w:r>
      <w:r w:rsidRPr="007107FA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5016845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0ADF01FA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85B9289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C116CE2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B52439" w:rsidRPr="001429DC" w14:paraId="783B8917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EF2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3E80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35620D1B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3A55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95D5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0D9DA10C" w14:textId="77777777" w:rsidR="00B52439" w:rsidRPr="00F324CB" w:rsidRDefault="00B52439" w:rsidP="00F324CB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733813D6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iCs/>
          <w:sz w:val="18"/>
          <w:szCs w:val="18"/>
          <w:lang w:val="hu-HU"/>
        </w:rPr>
      </w:pPr>
      <w:r w:rsidRPr="007107FA">
        <w:rPr>
          <w:rFonts w:ascii="Arial" w:hAnsi="Arial" w:cs="Arial"/>
          <w:b/>
          <w:iCs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52439" w:rsidRPr="001429DC" w14:paraId="2EAC8395" w14:textId="77777777" w:rsidTr="00F324CB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7B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0B68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69E7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2477AB1A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BB9A" w14:textId="4C96224E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bookmarkStart w:id="17" w:name="_Hlk109900025"/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DFE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743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70616E5C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BC0B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C34A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F128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0,02%</w:t>
            </w:r>
          </w:p>
        </w:tc>
      </w:tr>
    </w:tbl>
    <w:p w14:paraId="64D3AFAA" w14:textId="423D9517" w:rsidR="00B52439" w:rsidRPr="00962F79" w:rsidRDefault="00962F79" w:rsidP="00962F79">
      <w:pPr>
        <w:shd w:val="clear" w:color="auto" w:fill="FFFFFF"/>
        <w:spacing w:after="60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962F79">
        <w:rPr>
          <w:rFonts w:ascii="Arial" w:hAnsi="Arial" w:cs="Arial"/>
          <w:b/>
          <w:bCs/>
          <w:spacing w:val="-3"/>
          <w:sz w:val="18"/>
          <w:szCs w:val="18"/>
        </w:rPr>
        <w:t>5</w:t>
      </w:r>
      <w:r>
        <w:rPr>
          <w:rFonts w:ascii="Arial" w:hAnsi="Arial" w:cs="Arial"/>
          <w:b/>
          <w:bCs/>
          <w:spacing w:val="-3"/>
          <w:sz w:val="18"/>
          <w:szCs w:val="18"/>
        </w:rPr>
        <w:t>.</w:t>
      </w:r>
      <w:r w:rsidRPr="00962F79">
        <w:rPr>
          <w:rFonts w:ascii="Arial" w:hAnsi="Arial" w:cs="Arial"/>
          <w:b/>
          <w:bCs/>
          <w:spacing w:val="-3"/>
          <w:sz w:val="18"/>
          <w:szCs w:val="18"/>
        </w:rPr>
        <w:tab/>
      </w:r>
      <w:proofErr w:type="spellStart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>Széchenyi</w:t>
      </w:r>
      <w:proofErr w:type="spellEnd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>Mikrohitel</w:t>
      </w:r>
      <w:proofErr w:type="spellEnd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>Konstrukció</w:t>
      </w:r>
      <w:proofErr w:type="spellEnd"/>
      <w:r w:rsidR="00B52439" w:rsidRPr="00962F7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bookmarkEnd w:id="17"/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kezességi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díj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évenkénti</w:t>
      </w:r>
      <w:proofErr w:type="spellEnd"/>
      <w:r w:rsidR="00B52439" w:rsidRPr="00962F7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B52439" w:rsidRPr="00962F79">
        <w:rPr>
          <w:rFonts w:ascii="Arial" w:hAnsi="Arial" w:cs="Arial"/>
          <w:b/>
          <w:sz w:val="18"/>
          <w:szCs w:val="18"/>
          <w:u w:val="single"/>
        </w:rPr>
        <w:t>mértéke</w:t>
      </w:r>
      <w:proofErr w:type="spellEnd"/>
    </w:p>
    <w:p w14:paraId="2806EA7F" w14:textId="77777777" w:rsidR="00B52439" w:rsidRPr="00F324CB" w:rsidRDefault="00B52439" w:rsidP="00B52439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2C5EC688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4AF3125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A128F21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B52439" w:rsidRPr="001429DC" w14:paraId="698FE537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DFCB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63C9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07604E1C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6EF5" w14:textId="0AA081FE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9023" w14:textId="77777777" w:rsidR="00B52439" w:rsidRPr="007107FA" w:rsidRDefault="00B52439" w:rsidP="00F324CB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14A12EEA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69176F7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52439" w:rsidRPr="001429DC" w14:paraId="7B59A7A9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ECD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D35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C67E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52439" w:rsidRPr="001429DC" w14:paraId="75901347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0112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E0FC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0E66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B52439" w:rsidRPr="001429DC" w14:paraId="29B0916C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7BC9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A490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FA48" w14:textId="77777777" w:rsidR="00B52439" w:rsidRPr="007107FA" w:rsidRDefault="00B52439" w:rsidP="004403F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5D5CD5AF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D7E7623" w14:textId="04D19CD7" w:rsidR="00B52439" w:rsidRPr="00962F79" w:rsidRDefault="00B52439" w:rsidP="00962F79">
      <w:pPr>
        <w:pStyle w:val="Listaszerbekezds"/>
        <w:numPr>
          <w:ilvl w:val="2"/>
          <w:numId w:val="6"/>
        </w:numPr>
        <w:shd w:val="clear" w:color="auto" w:fill="FFFFFF"/>
        <w:spacing w:after="60"/>
        <w:ind w:left="284" w:hanging="284"/>
        <w:rPr>
          <w:rFonts w:ascii="Arial" w:hAnsi="Arial" w:cs="Arial"/>
          <w:sz w:val="18"/>
          <w:szCs w:val="18"/>
        </w:rPr>
      </w:pPr>
      <w:proofErr w:type="spellStart"/>
      <w:r w:rsidRPr="00962F79">
        <w:rPr>
          <w:rFonts w:ascii="Arial" w:hAnsi="Arial" w:cs="Arial"/>
          <w:b/>
          <w:sz w:val="18"/>
          <w:szCs w:val="18"/>
          <w:u w:val="single"/>
        </w:rPr>
        <w:t>InvestEU</w:t>
      </w:r>
      <w:proofErr w:type="spellEnd"/>
      <w:r w:rsidRPr="00962F79">
        <w:rPr>
          <w:rFonts w:ascii="Arial" w:hAnsi="Arial" w:cs="Arial"/>
          <w:b/>
          <w:sz w:val="18"/>
          <w:szCs w:val="18"/>
          <w:u w:val="single"/>
        </w:rPr>
        <w:t xml:space="preserve"> kezességi díj évenkénti mértéke</w:t>
      </w:r>
    </w:p>
    <w:p w14:paraId="0786F535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F79B996" w14:textId="77777777" w:rsidR="00B52439" w:rsidRPr="007107FA" w:rsidRDefault="00B52439" w:rsidP="00B5243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</w:t>
      </w:r>
      <w:r w:rsidRPr="007107F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107FA">
        <w:rPr>
          <w:rFonts w:ascii="Arial" w:hAnsi="Arial" w:cs="Arial"/>
          <w:sz w:val="18"/>
          <w:szCs w:val="18"/>
          <w:lang w:val="hu-HU"/>
        </w:rPr>
        <w:t>8</w:t>
      </w:r>
      <w:r w:rsidRPr="007107F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107FA">
        <w:rPr>
          <w:rFonts w:ascii="Arial" w:hAnsi="Arial" w:cs="Arial"/>
          <w:sz w:val="18"/>
          <w:szCs w:val="18"/>
          <w:lang w:val="hu-HU"/>
        </w:rPr>
        <w:t>re vonatkozóan</w:t>
      </w:r>
      <w:r w:rsidRPr="007107F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52439" w:rsidRPr="001429DC" w14:paraId="042795FD" w14:textId="77777777" w:rsidTr="004403F6">
        <w:trPr>
          <w:trHeight w:val="866"/>
        </w:trPr>
        <w:tc>
          <w:tcPr>
            <w:tcW w:w="4533" w:type="dxa"/>
            <w:vAlign w:val="center"/>
          </w:tcPr>
          <w:p w14:paraId="5BD18655" w14:textId="77777777" w:rsidR="00B52439" w:rsidRPr="007107FA" w:rsidRDefault="00B52439" w:rsidP="004403F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101B58BA" w14:textId="77777777" w:rsidR="00B52439" w:rsidRPr="007107FA" w:rsidRDefault="00B52439" w:rsidP="004403F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7DB1CA25" w14:textId="77777777" w:rsidR="00B52439" w:rsidRPr="007107FA" w:rsidRDefault="00B52439" w:rsidP="00F324CB">
      <w:pPr>
        <w:spacing w:before="0" w:after="0"/>
        <w:ind w:left="0"/>
        <w:jc w:val="left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28A4F956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5BFE1083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CCC5B3D" w14:textId="77777777" w:rsidR="00B52439" w:rsidRPr="007107FA" w:rsidRDefault="00B52439" w:rsidP="00F324CB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06D51159" w14:textId="77777777" w:rsidR="00B52439" w:rsidRPr="007107FA" w:rsidRDefault="00B52439" w:rsidP="00B52439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7107FA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3707432C" w14:textId="77777777" w:rsidR="00B52439" w:rsidRPr="007107FA" w:rsidRDefault="00B52439" w:rsidP="00B52439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2CA8BF89" w14:textId="77777777" w:rsidR="00B52439" w:rsidRPr="007107FA" w:rsidRDefault="00B52439" w:rsidP="00B52439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60C8A85C" w14:textId="77777777" w:rsidR="00B52439" w:rsidRPr="007107FA" w:rsidRDefault="00B52439" w:rsidP="00B52439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CEFB71A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63502694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díj számítása 360 nap/év és 30 napos hónapok figyelembevételével történik.</w:t>
      </w:r>
    </w:p>
    <w:p w14:paraId="14E4D635" w14:textId="77777777" w:rsidR="00B52439" w:rsidRPr="00F324CB" w:rsidRDefault="00B52439" w:rsidP="00B5243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9FA6BF3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070C01B4" w14:textId="77777777" w:rsidR="00B52439" w:rsidRPr="00F324CB" w:rsidRDefault="00B52439" w:rsidP="00B52439">
      <w:pPr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72AA013F" w14:textId="77777777" w:rsidR="00B52439" w:rsidRPr="00F324CB" w:rsidRDefault="00B52439" w:rsidP="00B52439">
      <w:pPr>
        <w:numPr>
          <w:ilvl w:val="2"/>
          <w:numId w:val="14"/>
        </w:numPr>
        <w:spacing w:before="0" w:after="240"/>
        <w:rPr>
          <w:rFonts w:ascii="Arial" w:hAnsi="Arial"/>
          <w:sz w:val="18"/>
          <w:lang w:val="hu-HU"/>
        </w:rPr>
      </w:pPr>
      <w:bookmarkStart w:id="18" w:name="_Hlk38864136"/>
      <w:r w:rsidRPr="007107FA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8"/>
    <w:p w14:paraId="7EFECA30" w14:textId="77777777" w:rsidR="00B52439" w:rsidRPr="00F324CB" w:rsidRDefault="00B52439" w:rsidP="00B52439">
      <w:pPr>
        <w:numPr>
          <w:ilvl w:val="2"/>
          <w:numId w:val="14"/>
        </w:numPr>
        <w:spacing w:before="0" w:after="240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0F9FA0D5" w14:textId="77777777" w:rsidR="00B52439" w:rsidRPr="00F324CB" w:rsidRDefault="00B52439" w:rsidP="00B52439">
      <w:pPr>
        <w:numPr>
          <w:ilvl w:val="2"/>
          <w:numId w:val="29"/>
        </w:numPr>
        <w:spacing w:before="0" w:after="240"/>
        <w:ind w:left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9E9B58F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5E73945" w14:textId="77777777" w:rsidR="00B52439" w:rsidRPr="00F324CB" w:rsidRDefault="00B52439" w:rsidP="00B524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  <w:lang w:val="hu-HU"/>
        </w:rPr>
      </w:pPr>
    </w:p>
    <w:p w14:paraId="628CCB87" w14:textId="77777777" w:rsidR="00B52439" w:rsidRPr="00F324CB" w:rsidRDefault="00B52439" w:rsidP="00B5243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4E68F47A" w14:textId="77777777" w:rsidR="00B52439" w:rsidRPr="007107FA" w:rsidRDefault="00B52439" w:rsidP="00B524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2B77BE85" w14:textId="77777777" w:rsidR="00B52439" w:rsidRPr="00F324CB" w:rsidRDefault="00B52439" w:rsidP="00B52439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sz w:val="18"/>
          <w:lang w:val="hu-HU"/>
        </w:rPr>
      </w:pPr>
      <w:bookmarkStart w:id="19" w:name="_Hlk15408924"/>
      <w:r w:rsidRPr="007107FA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19"/>
      <w:r w:rsidRPr="007107FA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2BD4B1C2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19B4373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31B72DB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B61C588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0E3DC81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508F227F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1E2B2F9D" w14:textId="77777777" w:rsidR="00B52439" w:rsidRPr="00F324CB" w:rsidRDefault="00B52439" w:rsidP="00F324CB">
      <w:pPr>
        <w:numPr>
          <w:ilvl w:val="1"/>
          <w:numId w:val="16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79CE6CD4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F31F633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3ABF0607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4D570BFD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107FA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1F73D3C3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107FA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398F9411" w14:textId="77777777" w:rsidR="00B52439" w:rsidRPr="00F324CB" w:rsidRDefault="00B52439" w:rsidP="00B5243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Állami viszontgaranciával biztosított kezesség esetén (kivéve a 6. számú melléklet alapján létrejött kezességeket), ha jogutódlásra (így különösen átalakulásra, szétválásra, egyesülésre, öröklésre, szerződésátruházásra, tartozásátvállalásra) kerül sor, úgy </w:t>
      </w:r>
      <w:bookmarkStart w:id="20" w:name="_Hlk194000667"/>
      <w:r w:rsidRPr="007107FA">
        <w:rPr>
          <w:rFonts w:ascii="Arial" w:hAnsi="Arial" w:cs="Arial"/>
          <w:sz w:val="18"/>
          <w:szCs w:val="18"/>
          <w:lang w:val="hu-HU"/>
        </w:rPr>
        <w:t>a kedvezményes és korrigált kezességi díj piaci kezességi díjra módosul</w:t>
      </w:r>
      <w:bookmarkEnd w:id="20"/>
      <w:r w:rsidRPr="007107FA">
        <w:rPr>
          <w:rFonts w:ascii="Arial" w:hAnsi="Arial" w:cs="Arial"/>
          <w:sz w:val="18"/>
          <w:szCs w:val="18"/>
          <w:lang w:val="hu-HU"/>
        </w:rPr>
        <w:t>, és az emelt összegű díjról kerül számviteli bizonylat kiállításra a jogutód felé.</w:t>
      </w:r>
    </w:p>
    <w:p w14:paraId="54301ACE" w14:textId="77777777" w:rsidR="00B52439" w:rsidRPr="00F324CB" w:rsidRDefault="00B52439" w:rsidP="00F324CB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F324CB">
        <w:rPr>
          <w:rFonts w:ascii="Arial" w:hAnsi="Arial"/>
          <w:sz w:val="18"/>
          <w:lang w:val="hu-HU"/>
        </w:rPr>
        <w:t>Mentesülési – vagy a kapcsolódó kedvezményes – díjon nyújtott kezesség esetén az ügylet abban az esetben sem kerül átsorolásra a 2,5 millió eurós összeghatár alatti díjkategóriákba, amennyiben egy vállalkozás szerződéseihez vállalt alapítványi kezesség összege adott időpontban már nem haladja meg a 2,5 millió eurót.</w:t>
      </w:r>
    </w:p>
    <w:p w14:paraId="79D08635" w14:textId="77777777" w:rsidR="00B52439" w:rsidRPr="007107FA" w:rsidRDefault="00B52439" w:rsidP="00B5243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4FB99484" w14:textId="77777777" w:rsidR="00B52439" w:rsidRPr="00F324CB" w:rsidRDefault="00B52439" w:rsidP="00F324CB">
      <w:pPr>
        <w:numPr>
          <w:ilvl w:val="0"/>
          <w:numId w:val="16"/>
        </w:numPr>
        <w:spacing w:before="0" w:after="240"/>
        <w:ind w:left="709" w:hanging="709"/>
        <w:jc w:val="left"/>
        <w:rPr>
          <w:rFonts w:ascii="Arial" w:eastAsia="Calibri" w:hAnsi="Arial"/>
          <w:sz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1D837022" w14:textId="77777777" w:rsidR="00B52439" w:rsidRPr="00F324CB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4.1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56719C92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4.2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5F906D2C" w14:textId="77777777" w:rsidR="00B52439" w:rsidRPr="007107FA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42B90C8C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b/>
          <w:bC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5.</w:t>
      </w:r>
      <w:r w:rsidRPr="007107FA">
        <w:rPr>
          <w:rFonts w:ascii="Arial" w:hAnsi="Arial" w:cs="Arial"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50232F59" w14:textId="7385C4A6" w:rsidR="00B52439" w:rsidRPr="007107FA" w:rsidRDefault="00B52439" w:rsidP="00F324CB">
      <w:pPr>
        <w:spacing w:before="24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5.1 A KAP-os díjtámogatott szerződések esetében a kezességi díj megfizetése a megvalósítási időszakban évenként, a fenntartási időszakban egy összegben, majd a támogatással érintett időszak utolsó napját követően évenként történik. Az Alapítvány a záró kifizetési kérelemre vonatkozó döntés hozzá történő beérkezését követően számviteli bizonylatot állít ki, meghatározva egyben a támogatással érintett időszak végét és a döntés véglegessé válását követő 30 napon belüli időpontig a még igényelhető kezességi díjtámogatásnak megfelelő jövőbeni kezességi díjak jelenértékét. </w:t>
      </w:r>
    </w:p>
    <w:p w14:paraId="70DC5706" w14:textId="6DD60704" w:rsidR="00B52439" w:rsidRPr="007107FA" w:rsidRDefault="00B52439" w:rsidP="00F324CB">
      <w:pPr>
        <w:widowControl w:val="0"/>
        <w:numPr>
          <w:ilvl w:val="1"/>
          <w:numId w:val="56"/>
        </w:numPr>
        <w:shd w:val="clear" w:color="auto" w:fill="FFFFFF"/>
        <w:autoSpaceDE w:val="0"/>
        <w:autoSpaceDN w:val="0"/>
        <w:adjustRightInd w:val="0"/>
        <w:spacing w:before="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támogatással érintett időszak végéig a számviteli bizonylat kiállításával egyidejűleg egy tájékoztató jellegű pénzügyi értesítő is készül elektronikus bélyegzővel ellátva, amelyet az Alapítvány a vállalkozás pénzügyi intézmény által megadott elektronikus levelezési címére küld meg. </w:t>
      </w:r>
    </w:p>
    <w:p w14:paraId="50037E62" w14:textId="46D82840" w:rsidR="00B52439" w:rsidRPr="00F324CB" w:rsidRDefault="00B52439" w:rsidP="00F324CB">
      <w:pPr>
        <w:widowControl w:val="0"/>
        <w:numPr>
          <w:ilvl w:val="1"/>
          <w:numId w:val="56"/>
        </w:numPr>
        <w:shd w:val="clear" w:color="auto" w:fill="FFFFFF"/>
        <w:autoSpaceDE w:val="0"/>
        <w:autoSpaceDN w:val="0"/>
        <w:adjustRightInd w:val="0"/>
        <w:spacing w:before="240" w:after="60"/>
        <w:ind w:left="426" w:right="6" w:hanging="42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 támogatással érintett időszak végéig, ha a pénzügyi intézmény a kezességi díjat a számviteli bizonylat alapján kiegyenlítette, valamint a Rendszerben jelezte az Alapítványnak, hogy a vállalkozás megfizette felé a kezességi díjat, az Alapítvány igazolást állít ki a kezességi díj megfizetéséről, és azt megküldi a vállalkozás pénzügyi intézmény által megadott elektronikus levelezési címére. </w:t>
      </w:r>
    </w:p>
    <w:p w14:paraId="31146386" w14:textId="77777777" w:rsidR="00B52439" w:rsidRPr="00F324CB" w:rsidRDefault="00B52439" w:rsidP="00B5243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763AD10F" w14:textId="77777777" w:rsidR="00B52439" w:rsidRPr="007107FA" w:rsidRDefault="00B52439" w:rsidP="00F324CB">
      <w:pPr>
        <w:numPr>
          <w:ilvl w:val="5"/>
          <w:numId w:val="20"/>
        </w:numPr>
        <w:shd w:val="clear" w:color="auto" w:fill="FFFFFF"/>
        <w:spacing w:before="0" w:after="240"/>
        <w:ind w:left="2693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973344B" w14:textId="77777777" w:rsidR="00B52439" w:rsidRPr="007107FA" w:rsidRDefault="00B52439" w:rsidP="00B5243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63AA0739" w14:textId="77777777" w:rsidR="00B52439" w:rsidRPr="007107FA" w:rsidRDefault="00B52439" w:rsidP="00B5243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0CE3F7B7" w14:textId="77777777" w:rsidR="00B52439" w:rsidRPr="007107FA" w:rsidRDefault="00B52439" w:rsidP="00F324CB">
      <w:pPr>
        <w:numPr>
          <w:ilvl w:val="0"/>
          <w:numId w:val="15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20A2F170" w14:textId="77777777" w:rsidR="00B52439" w:rsidRPr="007107FA" w:rsidRDefault="00B52439" w:rsidP="00B5243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</w:t>
      </w:r>
      <w:bookmarkStart w:id="21" w:name="_Hlk189828308"/>
      <w:r w:rsidRPr="007107FA">
        <w:rPr>
          <w:rFonts w:ascii="Arial" w:hAnsi="Arial" w:cs="Arial"/>
          <w:sz w:val="18"/>
          <w:szCs w:val="18"/>
          <w:lang w:val="hu-HU"/>
        </w:rPr>
        <w:t>–</w:t>
      </w:r>
      <w:bookmarkEnd w:id="21"/>
      <w:r w:rsidRPr="007107FA">
        <w:rPr>
          <w:rFonts w:ascii="Arial" w:hAnsi="Arial" w:cs="Arial"/>
          <w:sz w:val="18"/>
          <w:szCs w:val="18"/>
          <w:lang w:val="hu-HU"/>
        </w:rPr>
        <w:t xml:space="preserve">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261513E1" w14:textId="77777777" w:rsidR="00B52439" w:rsidRPr="007107FA" w:rsidRDefault="00B52439" w:rsidP="00B5243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11A86F70" w14:textId="4F1FF1A4" w:rsidR="00F324CB" w:rsidRDefault="00F324C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1785F028" w14:textId="77777777" w:rsidR="00B52439" w:rsidRPr="007107FA" w:rsidRDefault="00B52439" w:rsidP="00F324C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05C7E738" w14:textId="77777777" w:rsidR="00B52439" w:rsidRPr="007107FA" w:rsidRDefault="00B52439" w:rsidP="00F324CB">
      <w:pPr>
        <w:numPr>
          <w:ilvl w:val="5"/>
          <w:numId w:val="20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60FE066A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0C48FDC2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 IV.1. pontban rögzített egyezség teljesülése esetén,</w:t>
      </w:r>
      <w:r w:rsidRPr="00F324CB">
        <w:rPr>
          <w:rFonts w:ascii="Arial" w:hAnsi="Arial"/>
          <w:sz w:val="18"/>
          <w:lang w:val="hu-HU"/>
        </w:rPr>
        <w:t xml:space="preserve"> </w:t>
      </w:r>
      <w:r w:rsidRPr="007107FA">
        <w:rPr>
          <w:rFonts w:ascii="Arial" w:hAnsi="Arial" w:cs="Arial"/>
          <w:sz w:val="18"/>
          <w:szCs w:val="18"/>
          <w:lang w:val="hu-HU"/>
        </w:rPr>
        <w:t xml:space="preserve">amennyiben ezzel </w:t>
      </w:r>
      <w:r w:rsidRPr="00F324CB">
        <w:rPr>
          <w:rFonts w:ascii="Arial" w:hAnsi="Arial"/>
          <w:color w:val="000000"/>
          <w:sz w:val="18"/>
          <w:lang w:val="hu-HU"/>
        </w:rPr>
        <w:t xml:space="preserve">az Alapítvány fizetési kötelezettsége is megszűnik, úgy </w:t>
      </w:r>
      <w:r w:rsidRPr="007107FA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673BA882" w14:textId="77777777" w:rsidR="00B52439" w:rsidRPr="007107FA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6BC636E" w14:textId="77777777" w:rsidR="00B52439" w:rsidRDefault="00B52439" w:rsidP="00F324CB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69ECD609" w14:textId="77777777" w:rsidR="00B52439" w:rsidRPr="007107FA" w:rsidRDefault="00B52439" w:rsidP="00F324CB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3DDC0CD6" w14:textId="77777777" w:rsidR="00B52439" w:rsidRPr="007107FA" w:rsidRDefault="00B52439" w:rsidP="00F324CB">
      <w:pPr>
        <w:shd w:val="clear" w:color="auto" w:fill="FFFFFF"/>
        <w:spacing w:before="0" w:after="6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3DE537FF" w14:textId="77777777" w:rsidR="00B52439" w:rsidRPr="007107FA" w:rsidRDefault="00B52439" w:rsidP="00B52439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107FA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1DA20BB4" w14:textId="77777777" w:rsidR="00B52439" w:rsidRPr="007107FA" w:rsidRDefault="00B52439" w:rsidP="00B52439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1.1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CA7B89A" w14:textId="77777777" w:rsidR="00B52439" w:rsidRPr="007107FA" w:rsidRDefault="00B52439" w:rsidP="00B5243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a)</w:t>
      </w:r>
      <w:r w:rsidRPr="007107FA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961DF55" w14:textId="77777777" w:rsidR="00B52439" w:rsidRPr="007107FA" w:rsidRDefault="00B52439" w:rsidP="00B5243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b)</w:t>
      </w:r>
      <w:r w:rsidRPr="007107FA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AC1B598" w14:textId="77777777" w:rsidR="00B52439" w:rsidRPr="007107FA" w:rsidRDefault="00B52439" w:rsidP="00B52439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c)</w:t>
      </w:r>
      <w:r w:rsidRPr="007107FA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3460497B" w14:textId="77777777" w:rsidR="00B52439" w:rsidRPr="007107FA" w:rsidRDefault="00B52439" w:rsidP="00B52439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d)</w:t>
      </w:r>
      <w:r w:rsidRPr="007107FA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6CEFD58A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1.2</w:t>
      </w:r>
      <w:r w:rsidRPr="007107FA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7DFF183" w14:textId="77777777" w:rsidR="00B52439" w:rsidRPr="007107FA" w:rsidRDefault="00B52439" w:rsidP="00B52439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5411B75" w14:textId="77777777" w:rsidR="00B52439" w:rsidRPr="007107FA" w:rsidRDefault="00B52439" w:rsidP="00B52439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7107FA">
        <w:rPr>
          <w:rFonts w:ascii="Arial" w:hAnsi="Arial" w:cs="Arial"/>
          <w:bCs/>
          <w:sz w:val="18"/>
          <w:szCs w:val="18"/>
          <w:lang w:val="hu-HU"/>
        </w:rPr>
        <w:t>1.3</w:t>
      </w:r>
      <w:r w:rsidRPr="007107FA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7107FA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52439" w:rsidRPr="001429DC" w14:paraId="2D26223B" w14:textId="77777777" w:rsidTr="004403F6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754C8" w14:textId="77777777" w:rsidR="00B52439" w:rsidRPr="007107FA" w:rsidRDefault="00B52439" w:rsidP="00F324CB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C7178" w14:textId="77777777" w:rsidR="00B52439" w:rsidRPr="007107FA" w:rsidRDefault="00B52439" w:rsidP="00F324CB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4F69E940" w14:textId="77777777" w:rsidR="00B52439" w:rsidRPr="007107FA" w:rsidRDefault="00B52439" w:rsidP="00F324CB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52439" w:rsidRPr="001429DC" w14:paraId="586D62E5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BED14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E239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52439" w:rsidRPr="001429DC" w14:paraId="37927984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E240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FA324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52439" w:rsidRPr="001429DC" w14:paraId="2B292AED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83D7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A7C23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52439" w:rsidRPr="001429DC" w14:paraId="33EA839C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08243" w14:textId="77777777" w:rsidR="00B52439" w:rsidRPr="007107FA" w:rsidRDefault="00B52439" w:rsidP="00F324CB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23F13" w14:textId="77777777" w:rsidR="00B52439" w:rsidRPr="007107FA" w:rsidRDefault="00B52439" w:rsidP="00F324CB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107FA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46C7CAFE" w14:textId="77777777" w:rsidR="00B52439" w:rsidRPr="007107FA" w:rsidRDefault="00B52439" w:rsidP="00B52439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7107FA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9C34B83" w14:textId="77777777" w:rsidR="00B52439" w:rsidRPr="00F324CB" w:rsidRDefault="00B52439" w:rsidP="00F324CB">
      <w:pPr>
        <w:numPr>
          <w:ilvl w:val="0"/>
          <w:numId w:val="45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  <w:lang w:val="hu-HU"/>
        </w:rPr>
      </w:pPr>
      <w:r w:rsidRPr="007107FA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434C73E" w14:textId="77777777" w:rsidR="00B52439" w:rsidRPr="007107FA" w:rsidRDefault="00B52439" w:rsidP="00B52439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2.1</w:t>
      </w:r>
      <w:r w:rsidRPr="007107FA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07CC69AC" w14:textId="77777777" w:rsidR="00B52439" w:rsidRPr="007107FA" w:rsidRDefault="00B52439" w:rsidP="00F324CB">
      <w:pPr>
        <w:pStyle w:val="Listaszerbekezds"/>
        <w:numPr>
          <w:ilvl w:val="1"/>
          <w:numId w:val="57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7107FA">
        <w:rPr>
          <w:rFonts w:ascii="Arial" w:hAnsi="Arial" w:cs="Arial"/>
          <w:sz w:val="18"/>
          <w:szCs w:val="18"/>
        </w:rPr>
        <w:t>A bev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hat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rid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 xml:space="preserve"> 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j m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rt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 xml:space="preserve">ke 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vente 0,1%, vet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si alapja a kezess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ggel biztos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 xml:space="preserve">tott 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sszeg. A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j a meghosszabb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tott 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>szakra 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>ar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nyosan ker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felsz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sra. A bev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hat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rid</w:t>
      </w:r>
      <w:r w:rsidRPr="007107FA">
        <w:rPr>
          <w:rFonts w:ascii="Arial" w:hAnsi="Arial" w:cs="Arial" w:hint="eastAsia"/>
          <w:sz w:val="18"/>
          <w:szCs w:val="18"/>
        </w:rPr>
        <w:t>ő</w:t>
      </w:r>
      <w:r w:rsidRPr="007107FA">
        <w:rPr>
          <w:rFonts w:ascii="Arial" w:hAnsi="Arial" w:cs="Arial"/>
          <w:sz w:val="18"/>
          <w:szCs w:val="18"/>
        </w:rPr>
        <w:t xml:space="preserve"> hosszabb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si d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 xml:space="preserve">j egy 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sszegben ker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meg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llap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 xml:space="preserve">sra, 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s a p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nz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gyi int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zm</w:t>
      </w:r>
      <w:r w:rsidRPr="007107FA">
        <w:rPr>
          <w:rFonts w:ascii="Arial" w:hAnsi="Arial" w:cs="Arial" w:hint="eastAsia"/>
          <w:sz w:val="18"/>
          <w:szCs w:val="18"/>
        </w:rPr>
        <w:t>é</w:t>
      </w:r>
      <w:r w:rsidRPr="007107FA">
        <w:rPr>
          <w:rFonts w:ascii="Arial" w:hAnsi="Arial" w:cs="Arial"/>
          <w:sz w:val="18"/>
          <w:szCs w:val="18"/>
        </w:rPr>
        <w:t>ny k</w:t>
      </w:r>
      <w:r w:rsidRPr="007107FA">
        <w:rPr>
          <w:rFonts w:ascii="Arial" w:hAnsi="Arial" w:cs="Arial" w:hint="eastAsia"/>
          <w:sz w:val="18"/>
          <w:szCs w:val="18"/>
        </w:rPr>
        <w:t>ö</w:t>
      </w:r>
      <w:r w:rsidRPr="007107FA">
        <w:rPr>
          <w:rFonts w:ascii="Arial" w:hAnsi="Arial" w:cs="Arial"/>
          <w:sz w:val="18"/>
          <w:szCs w:val="18"/>
        </w:rPr>
        <w:t>teles azt a 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mviteli bizonylat ki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ll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s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t</w:t>
      </w:r>
      <w:r w:rsidRPr="007107FA">
        <w:rPr>
          <w:rFonts w:ascii="Arial" w:hAnsi="Arial" w:cs="Arial" w:hint="eastAsia"/>
          <w:sz w:val="18"/>
          <w:szCs w:val="18"/>
        </w:rPr>
        <w:t>ó</w:t>
      </w:r>
      <w:r w:rsidRPr="007107FA">
        <w:rPr>
          <w:rFonts w:ascii="Arial" w:hAnsi="Arial" w:cs="Arial"/>
          <w:sz w:val="18"/>
          <w:szCs w:val="18"/>
        </w:rPr>
        <w:t>l 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tott 15 napon bel</w:t>
      </w:r>
      <w:r w:rsidRPr="007107FA">
        <w:rPr>
          <w:rFonts w:ascii="Arial" w:hAnsi="Arial" w:cs="Arial" w:hint="eastAsia"/>
          <w:sz w:val="18"/>
          <w:szCs w:val="18"/>
        </w:rPr>
        <w:t>ü</w:t>
      </w:r>
      <w:r w:rsidRPr="007107FA">
        <w:rPr>
          <w:rFonts w:ascii="Arial" w:hAnsi="Arial" w:cs="Arial"/>
          <w:sz w:val="18"/>
          <w:szCs w:val="18"/>
        </w:rPr>
        <w:t>l az Alap</w:t>
      </w:r>
      <w:r w:rsidRPr="007107FA">
        <w:rPr>
          <w:rFonts w:ascii="Arial" w:hAnsi="Arial" w:cs="Arial" w:hint="eastAsia"/>
          <w:sz w:val="18"/>
          <w:szCs w:val="18"/>
        </w:rPr>
        <w:t>í</w:t>
      </w:r>
      <w:r w:rsidRPr="007107FA">
        <w:rPr>
          <w:rFonts w:ascii="Arial" w:hAnsi="Arial" w:cs="Arial"/>
          <w:sz w:val="18"/>
          <w:szCs w:val="18"/>
        </w:rPr>
        <w:t>tv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ny banksz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ml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j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 xml:space="preserve">ra </w:t>
      </w:r>
      <w:r w:rsidRPr="007107FA">
        <w:rPr>
          <w:rFonts w:ascii="Arial" w:hAnsi="Arial" w:cs="Arial" w:hint="eastAsia"/>
          <w:sz w:val="18"/>
          <w:szCs w:val="18"/>
        </w:rPr>
        <w:t>á</w:t>
      </w:r>
      <w:r w:rsidRPr="007107FA">
        <w:rPr>
          <w:rFonts w:ascii="Arial" w:hAnsi="Arial" w:cs="Arial"/>
          <w:sz w:val="18"/>
          <w:szCs w:val="18"/>
        </w:rPr>
        <w:t>tutalni.</w:t>
      </w:r>
    </w:p>
    <w:p w14:paraId="47FE9E49" w14:textId="77777777" w:rsidR="00B52439" w:rsidRPr="00F324CB" w:rsidRDefault="00B52439" w:rsidP="00B52439">
      <w:pPr>
        <w:shd w:val="clear" w:color="auto" w:fill="FFFFFF"/>
        <w:spacing w:before="0" w:after="60"/>
        <w:ind w:left="426" w:hanging="426"/>
        <w:rPr>
          <w:rFonts w:ascii="Arial" w:hAnsi="Arial"/>
          <w:sz w:val="18"/>
          <w:lang w:val="hu-HU"/>
        </w:rPr>
      </w:pPr>
      <w:r w:rsidRPr="007107FA">
        <w:rPr>
          <w:rFonts w:ascii="Arial" w:hAnsi="Arial" w:cs="Arial"/>
          <w:sz w:val="18"/>
          <w:szCs w:val="18"/>
          <w:lang w:val="hu-HU"/>
        </w:rPr>
        <w:t>2.3</w:t>
      </w:r>
      <w:r w:rsidRPr="007107FA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2ED0" w14:textId="77777777" w:rsidR="002D5D8D" w:rsidRDefault="002D5D8D">
      <w:pPr>
        <w:spacing w:before="0" w:after="0"/>
      </w:pPr>
      <w:r>
        <w:separator/>
      </w:r>
    </w:p>
  </w:endnote>
  <w:endnote w:type="continuationSeparator" w:id="0">
    <w:p w14:paraId="63793EA1" w14:textId="77777777" w:rsidR="002D5D8D" w:rsidRDefault="002D5D8D">
      <w:pPr>
        <w:spacing w:before="0" w:after="0"/>
      </w:pPr>
      <w:r>
        <w:continuationSeparator/>
      </w:r>
    </w:p>
  </w:endnote>
  <w:endnote w:type="continuationNotice" w:id="1">
    <w:p w14:paraId="5667A7FC" w14:textId="77777777" w:rsidR="002D5D8D" w:rsidRDefault="002D5D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E9D4" w14:textId="25601672" w:rsidR="002B3ECF" w:rsidRPr="00C4026F" w:rsidRDefault="00C4026F" w:rsidP="00C4026F">
    <w:pPr>
      <w:pStyle w:val="llb"/>
      <w:tabs>
        <w:tab w:val="left" w:pos="765"/>
      </w:tabs>
      <w:rPr>
        <w:rFonts w:ascii="Arial" w:hAnsi="Arial" w:cs="Arial"/>
        <w:sz w:val="16"/>
        <w:szCs w:val="16"/>
      </w:rPr>
    </w:pPr>
    <w:r>
      <w:tab/>
    </w:r>
    <w:r w:rsidRPr="00C4026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ED9E" w14:textId="77777777" w:rsidR="002D5D8D" w:rsidRDefault="002D5D8D">
      <w:pPr>
        <w:spacing w:before="0" w:after="0"/>
      </w:pPr>
      <w:r>
        <w:separator/>
      </w:r>
    </w:p>
  </w:footnote>
  <w:footnote w:type="continuationSeparator" w:id="0">
    <w:p w14:paraId="5743254B" w14:textId="77777777" w:rsidR="002D5D8D" w:rsidRDefault="002D5D8D">
      <w:pPr>
        <w:spacing w:before="0" w:after="0"/>
      </w:pPr>
      <w:r>
        <w:continuationSeparator/>
      </w:r>
    </w:p>
  </w:footnote>
  <w:footnote w:type="continuationNotice" w:id="1">
    <w:p w14:paraId="39A20A61" w14:textId="77777777" w:rsidR="002D5D8D" w:rsidRDefault="002D5D8D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E0B3635" w14:textId="77777777" w:rsidR="00B52439" w:rsidRPr="00E01407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F2B4101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1969B495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07417D37" w14:textId="77777777" w:rsidR="00B52439" w:rsidRPr="00F47A3B" w:rsidRDefault="00B52439" w:rsidP="00B52439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766D6C96" w14:textId="77777777" w:rsidR="00B52439" w:rsidRPr="00AD7D9E" w:rsidRDefault="00B52439" w:rsidP="00B52439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5EEBACE1" w14:textId="77777777" w:rsidR="00B52439" w:rsidRPr="00945AA7" w:rsidRDefault="00B52439" w:rsidP="00B52439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12540D48" w14:textId="77777777" w:rsidR="00B52439" w:rsidRPr="00130A5F" w:rsidRDefault="00B52439" w:rsidP="00B52439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3D8E38F5" w14:textId="77777777" w:rsidR="00B52439" w:rsidRPr="00F324CB" w:rsidRDefault="00B52439" w:rsidP="00B52439">
      <w:pPr>
        <w:pStyle w:val="Lbjegyzetszveg"/>
        <w:rPr>
          <w:rFonts w:ascii="Arial" w:hAnsi="Arial"/>
          <w:lang w:val="hu-HU"/>
        </w:rPr>
      </w:pPr>
      <w:r w:rsidRPr="00F324CB">
        <w:rPr>
          <w:rStyle w:val="Lbjegyzet-hivatkozs"/>
          <w:rFonts w:ascii="Arial" w:hAnsi="Arial"/>
        </w:rPr>
        <w:footnoteRef/>
      </w:r>
      <w:r w:rsidRPr="00F324CB">
        <w:rPr>
          <w:rFonts w:ascii="Arial" w:hAnsi="Arial"/>
        </w:rPr>
        <w:t xml:space="preserve"> </w:t>
      </w:r>
      <w:r w:rsidRPr="00D13BB3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142BD284" w14:textId="77777777" w:rsidR="00B52439" w:rsidRPr="005A3948" w:rsidRDefault="00B52439" w:rsidP="00B52439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50F7000E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</w:t>
        </w:r>
        <w:r w:rsidR="006177B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5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. </w:t>
        </w:r>
        <w:r w:rsidR="00F25E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jú</w:t>
        </w:r>
        <w:r w:rsidR="0066134E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</w:t>
        </w:r>
        <w:r w:rsidR="00F25E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ius</w:t>
        </w:r>
        <w:r w:rsidR="001936F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66134E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ő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EA72B6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5B68660D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2025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F25E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</w:t>
    </w:r>
    <w:r w:rsidR="0066134E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lius </w:t>
    </w:r>
    <w:r w:rsidR="00F25E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66134E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AD93C59"/>
    <w:multiLevelType w:val="multilevel"/>
    <w:tmpl w:val="FDBCB1C4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24232"/>
    <w:multiLevelType w:val="multilevel"/>
    <w:tmpl w:val="8F96D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4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3E4230AE"/>
    <w:multiLevelType w:val="multilevel"/>
    <w:tmpl w:val="91166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7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4ABB31AE"/>
    <w:multiLevelType w:val="hybridMultilevel"/>
    <w:tmpl w:val="1AD4861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C74EB86E">
      <w:start w:val="5"/>
      <w:numFmt w:val="decimal"/>
      <w:lvlText w:val="%4."/>
      <w:lvlJc w:val="left"/>
      <w:pPr>
        <w:ind w:left="3054" w:hanging="360"/>
      </w:pPr>
      <w:rPr>
        <w:rFonts w:hint="default"/>
        <w:b/>
        <w:u w:val="single"/>
      </w:rPr>
    </w:lvl>
    <w:lvl w:ilvl="4" w:tplc="7A52055C">
      <w:start w:val="5"/>
      <w:numFmt w:val="decimal"/>
      <w:lvlText w:val="%5-"/>
      <w:lvlJc w:val="left"/>
      <w:pPr>
        <w:ind w:left="432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265555"/>
    <w:multiLevelType w:val="multilevel"/>
    <w:tmpl w:val="C7686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53DA22BE"/>
    <w:multiLevelType w:val="hybridMultilevel"/>
    <w:tmpl w:val="C61480AA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673251AA">
      <w:start w:val="6"/>
      <w:numFmt w:val="decimal"/>
      <w:lvlText w:val="%3."/>
      <w:lvlJc w:val="left"/>
      <w:pPr>
        <w:ind w:left="2340" w:hanging="360"/>
      </w:pPr>
      <w:rPr>
        <w:rFonts w:hint="default"/>
        <w:b/>
        <w:u w:val="none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8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1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3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2887993">
    <w:abstractNumId w:val="42"/>
  </w:num>
  <w:num w:numId="2" w16cid:durableId="962542471">
    <w:abstractNumId w:val="54"/>
  </w:num>
  <w:num w:numId="3" w16cid:durableId="668561013">
    <w:abstractNumId w:val="32"/>
  </w:num>
  <w:num w:numId="4" w16cid:durableId="1492790475">
    <w:abstractNumId w:val="24"/>
  </w:num>
  <w:num w:numId="5" w16cid:durableId="2009286244">
    <w:abstractNumId w:val="1"/>
  </w:num>
  <w:num w:numId="6" w16cid:durableId="2000618145">
    <w:abstractNumId w:val="38"/>
  </w:num>
  <w:num w:numId="7" w16cid:durableId="1366907224">
    <w:abstractNumId w:val="35"/>
  </w:num>
  <w:num w:numId="8" w16cid:durableId="1563982903">
    <w:abstractNumId w:val="43"/>
  </w:num>
  <w:num w:numId="9" w16cid:durableId="464470825">
    <w:abstractNumId w:val="50"/>
  </w:num>
  <w:num w:numId="10" w16cid:durableId="484318265">
    <w:abstractNumId w:val="34"/>
  </w:num>
  <w:num w:numId="11" w16cid:durableId="2145464576">
    <w:abstractNumId w:val="28"/>
  </w:num>
  <w:num w:numId="12" w16cid:durableId="1101418054">
    <w:abstractNumId w:val="22"/>
  </w:num>
  <w:num w:numId="13" w16cid:durableId="783233994">
    <w:abstractNumId w:val="5"/>
  </w:num>
  <w:num w:numId="14" w16cid:durableId="536547801">
    <w:abstractNumId w:val="19"/>
  </w:num>
  <w:num w:numId="15" w16cid:durableId="1696342682">
    <w:abstractNumId w:val="8"/>
  </w:num>
  <w:num w:numId="16" w16cid:durableId="1774204852">
    <w:abstractNumId w:val="46"/>
  </w:num>
  <w:num w:numId="17" w16cid:durableId="1785077981">
    <w:abstractNumId w:val="23"/>
  </w:num>
  <w:num w:numId="18" w16cid:durableId="160852381">
    <w:abstractNumId w:val="14"/>
  </w:num>
  <w:num w:numId="19" w16cid:durableId="1336226596">
    <w:abstractNumId w:val="3"/>
  </w:num>
  <w:num w:numId="20" w16cid:durableId="557016878">
    <w:abstractNumId w:val="2"/>
  </w:num>
  <w:num w:numId="21" w16cid:durableId="1796556462">
    <w:abstractNumId w:val="47"/>
  </w:num>
  <w:num w:numId="22" w16cid:durableId="931350841">
    <w:abstractNumId w:val="20"/>
  </w:num>
  <w:num w:numId="23" w16cid:durableId="1960646079">
    <w:abstractNumId w:val="12"/>
  </w:num>
  <w:num w:numId="24" w16cid:durableId="345794766">
    <w:abstractNumId w:val="0"/>
  </w:num>
  <w:num w:numId="25" w16cid:durableId="654995922">
    <w:abstractNumId w:val="53"/>
  </w:num>
  <w:num w:numId="26" w16cid:durableId="1347633864">
    <w:abstractNumId w:val="6"/>
  </w:num>
  <w:num w:numId="27" w16cid:durableId="1760982899">
    <w:abstractNumId w:val="29"/>
  </w:num>
  <w:num w:numId="28" w16cid:durableId="875969269">
    <w:abstractNumId w:val="51"/>
  </w:num>
  <w:num w:numId="29" w16cid:durableId="503785970">
    <w:abstractNumId w:val="9"/>
  </w:num>
  <w:num w:numId="30" w16cid:durableId="1196694912">
    <w:abstractNumId w:val="39"/>
  </w:num>
  <w:num w:numId="31" w16cid:durableId="799882373">
    <w:abstractNumId w:val="7"/>
  </w:num>
  <w:num w:numId="32" w16cid:durableId="1379010889">
    <w:abstractNumId w:val="48"/>
  </w:num>
  <w:num w:numId="33" w16cid:durableId="1747534025">
    <w:abstractNumId w:val="49"/>
  </w:num>
  <w:num w:numId="34" w16cid:durableId="1138571384">
    <w:abstractNumId w:val="25"/>
  </w:num>
  <w:num w:numId="35" w16cid:durableId="40399288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834408">
    <w:abstractNumId w:val="55"/>
  </w:num>
  <w:num w:numId="37" w16cid:durableId="454100677">
    <w:abstractNumId w:val="11"/>
  </w:num>
  <w:num w:numId="38" w16cid:durableId="1451585763">
    <w:abstractNumId w:val="15"/>
  </w:num>
  <w:num w:numId="39" w16cid:durableId="866141492">
    <w:abstractNumId w:val="40"/>
  </w:num>
  <w:num w:numId="40" w16cid:durableId="1156452124">
    <w:abstractNumId w:val="56"/>
  </w:num>
  <w:num w:numId="41" w16cid:durableId="1599481659">
    <w:abstractNumId w:val="30"/>
  </w:num>
  <w:num w:numId="42" w16cid:durableId="163204467">
    <w:abstractNumId w:val="41"/>
  </w:num>
  <w:num w:numId="43" w16cid:durableId="345644472">
    <w:abstractNumId w:val="52"/>
  </w:num>
  <w:num w:numId="44" w16cid:durableId="1536574590">
    <w:abstractNumId w:val="13"/>
  </w:num>
  <w:num w:numId="45" w16cid:durableId="197931039">
    <w:abstractNumId w:val="16"/>
  </w:num>
  <w:num w:numId="46" w16cid:durableId="1471558966">
    <w:abstractNumId w:val="37"/>
  </w:num>
  <w:num w:numId="47" w16cid:durableId="1999652307">
    <w:abstractNumId w:val="4"/>
  </w:num>
  <w:num w:numId="48" w16cid:durableId="2128887135">
    <w:abstractNumId w:val="17"/>
  </w:num>
  <w:num w:numId="49" w16cid:durableId="1987465805">
    <w:abstractNumId w:val="44"/>
  </w:num>
  <w:num w:numId="50" w16cid:durableId="893001594">
    <w:abstractNumId w:val="27"/>
  </w:num>
  <w:num w:numId="51" w16cid:durableId="928661633">
    <w:abstractNumId w:val="33"/>
  </w:num>
  <w:num w:numId="52" w16cid:durableId="2052680842">
    <w:abstractNumId w:val="21"/>
  </w:num>
  <w:num w:numId="53" w16cid:durableId="792015511">
    <w:abstractNumId w:val="31"/>
  </w:num>
  <w:num w:numId="54" w16cid:durableId="877935449">
    <w:abstractNumId w:val="10"/>
  </w:num>
  <w:num w:numId="55" w16cid:durableId="407381563">
    <w:abstractNumId w:val="18"/>
  </w:num>
  <w:num w:numId="56" w16cid:durableId="266431092">
    <w:abstractNumId w:val="26"/>
  </w:num>
  <w:num w:numId="57" w16cid:durableId="11692949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0BXpIz7byS7X52pKhqsSjkQO6I3xvIELBZAgcE5Y4IvTLwYcGqscw4axcyPyIodX5o0X/fS3NzrO9vLBmfKEg==" w:salt="13CEvnZPD/snDXRB8kU8o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966FD"/>
    <w:rsid w:val="000A0E0F"/>
    <w:rsid w:val="000A1F77"/>
    <w:rsid w:val="000A41A6"/>
    <w:rsid w:val="000A5F0B"/>
    <w:rsid w:val="000B0AA8"/>
    <w:rsid w:val="000B5F02"/>
    <w:rsid w:val="000B62C7"/>
    <w:rsid w:val="000B69AD"/>
    <w:rsid w:val="000B7201"/>
    <w:rsid w:val="000C08F9"/>
    <w:rsid w:val="000C46DB"/>
    <w:rsid w:val="000D128D"/>
    <w:rsid w:val="000D1D17"/>
    <w:rsid w:val="000D2BCE"/>
    <w:rsid w:val="000D3339"/>
    <w:rsid w:val="000D4059"/>
    <w:rsid w:val="000D411D"/>
    <w:rsid w:val="000D6779"/>
    <w:rsid w:val="000D7FD2"/>
    <w:rsid w:val="000E086E"/>
    <w:rsid w:val="000E1DC6"/>
    <w:rsid w:val="000E365B"/>
    <w:rsid w:val="000E4952"/>
    <w:rsid w:val="000F7A9D"/>
    <w:rsid w:val="000F7C01"/>
    <w:rsid w:val="001010B2"/>
    <w:rsid w:val="00101518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5DA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936FA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0BF7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1F7B77"/>
    <w:rsid w:val="002026BB"/>
    <w:rsid w:val="00204AEB"/>
    <w:rsid w:val="00206F1E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029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5D8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57D9"/>
    <w:rsid w:val="002F6311"/>
    <w:rsid w:val="00300FE9"/>
    <w:rsid w:val="00305D71"/>
    <w:rsid w:val="00306CAA"/>
    <w:rsid w:val="003102CF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2696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5386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50E5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2849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7BA"/>
    <w:rsid w:val="00617BEF"/>
    <w:rsid w:val="00622690"/>
    <w:rsid w:val="00624351"/>
    <w:rsid w:val="006259E4"/>
    <w:rsid w:val="00631479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34E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C1837"/>
    <w:rsid w:val="006C31D0"/>
    <w:rsid w:val="006D3C41"/>
    <w:rsid w:val="006D5B62"/>
    <w:rsid w:val="006D5FD6"/>
    <w:rsid w:val="006E2A86"/>
    <w:rsid w:val="006E372B"/>
    <w:rsid w:val="006E4E1D"/>
    <w:rsid w:val="006E5121"/>
    <w:rsid w:val="006F5E95"/>
    <w:rsid w:val="006F6F99"/>
    <w:rsid w:val="00700CE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3AB3"/>
    <w:rsid w:val="007627AD"/>
    <w:rsid w:val="007634AF"/>
    <w:rsid w:val="00763C07"/>
    <w:rsid w:val="007668A3"/>
    <w:rsid w:val="00774694"/>
    <w:rsid w:val="00775FF1"/>
    <w:rsid w:val="00780B4C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24F9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922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3A32"/>
    <w:rsid w:val="0083617A"/>
    <w:rsid w:val="00842EDB"/>
    <w:rsid w:val="00846BE9"/>
    <w:rsid w:val="0085229C"/>
    <w:rsid w:val="0085478F"/>
    <w:rsid w:val="00856056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B0D65"/>
    <w:rsid w:val="008B1F3E"/>
    <w:rsid w:val="008B267B"/>
    <w:rsid w:val="008B618E"/>
    <w:rsid w:val="008B76BF"/>
    <w:rsid w:val="008C0D63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1E2A"/>
    <w:rsid w:val="009350F9"/>
    <w:rsid w:val="00935266"/>
    <w:rsid w:val="009359BA"/>
    <w:rsid w:val="009428BA"/>
    <w:rsid w:val="009438C5"/>
    <w:rsid w:val="0094560E"/>
    <w:rsid w:val="00952651"/>
    <w:rsid w:val="00952880"/>
    <w:rsid w:val="00962F79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30ED"/>
    <w:rsid w:val="009A49A3"/>
    <w:rsid w:val="009B0DF7"/>
    <w:rsid w:val="009B14B5"/>
    <w:rsid w:val="009B595F"/>
    <w:rsid w:val="009C1A01"/>
    <w:rsid w:val="009C6A00"/>
    <w:rsid w:val="009C7202"/>
    <w:rsid w:val="009D0B6C"/>
    <w:rsid w:val="009D521E"/>
    <w:rsid w:val="009D6727"/>
    <w:rsid w:val="009E411F"/>
    <w:rsid w:val="009E50F8"/>
    <w:rsid w:val="009E6177"/>
    <w:rsid w:val="009E6B60"/>
    <w:rsid w:val="009F0B71"/>
    <w:rsid w:val="009F0EA4"/>
    <w:rsid w:val="009F1A60"/>
    <w:rsid w:val="009F244F"/>
    <w:rsid w:val="009F46AB"/>
    <w:rsid w:val="009F6864"/>
    <w:rsid w:val="00A218B7"/>
    <w:rsid w:val="00A22F7A"/>
    <w:rsid w:val="00A23409"/>
    <w:rsid w:val="00A239B8"/>
    <w:rsid w:val="00A27C46"/>
    <w:rsid w:val="00A31C0F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37C"/>
    <w:rsid w:val="00A8020A"/>
    <w:rsid w:val="00A83345"/>
    <w:rsid w:val="00A8747B"/>
    <w:rsid w:val="00A875E6"/>
    <w:rsid w:val="00A90D60"/>
    <w:rsid w:val="00A93362"/>
    <w:rsid w:val="00A946AB"/>
    <w:rsid w:val="00A946D2"/>
    <w:rsid w:val="00A95151"/>
    <w:rsid w:val="00A96699"/>
    <w:rsid w:val="00AA0E4A"/>
    <w:rsid w:val="00AA6082"/>
    <w:rsid w:val="00AB0823"/>
    <w:rsid w:val="00AB0EBB"/>
    <w:rsid w:val="00AB4A46"/>
    <w:rsid w:val="00AB5ACB"/>
    <w:rsid w:val="00AC0E7A"/>
    <w:rsid w:val="00AC214A"/>
    <w:rsid w:val="00AC2DB8"/>
    <w:rsid w:val="00AE3ABC"/>
    <w:rsid w:val="00AE3FF9"/>
    <w:rsid w:val="00AE4CB5"/>
    <w:rsid w:val="00AE5F2E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2439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58BF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37CC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026F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77FB7"/>
    <w:rsid w:val="00C81CF3"/>
    <w:rsid w:val="00C82585"/>
    <w:rsid w:val="00C83B43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D6045"/>
    <w:rsid w:val="00CD7EC4"/>
    <w:rsid w:val="00CE0037"/>
    <w:rsid w:val="00CE3405"/>
    <w:rsid w:val="00CE4EFC"/>
    <w:rsid w:val="00CE553F"/>
    <w:rsid w:val="00CF0C7A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5DF9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92EB8"/>
    <w:rsid w:val="00E97B8F"/>
    <w:rsid w:val="00EA0923"/>
    <w:rsid w:val="00EA1FF6"/>
    <w:rsid w:val="00EA4322"/>
    <w:rsid w:val="00EA72B6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25E9B"/>
    <w:rsid w:val="00F30383"/>
    <w:rsid w:val="00F31CB8"/>
    <w:rsid w:val="00F324CB"/>
    <w:rsid w:val="00F32990"/>
    <w:rsid w:val="00F35050"/>
    <w:rsid w:val="00F36A08"/>
    <w:rsid w:val="00F42CA8"/>
    <w:rsid w:val="00F455DA"/>
    <w:rsid w:val="00F46361"/>
    <w:rsid w:val="00F47326"/>
    <w:rsid w:val="00F5112B"/>
    <w:rsid w:val="00F5264C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F7C8-8D1D-4125-ABDA-B123FCD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18</TotalTime>
  <Pages>13</Pages>
  <Words>5794</Words>
  <Characters>39982</Characters>
  <Application>Microsoft Office Word</Application>
  <DocSecurity>0</DocSecurity>
  <Lines>333</Lines>
  <Paragraphs>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Körömi Bálint dr.</cp:lastModifiedBy>
  <cp:revision>7</cp:revision>
  <cp:lastPrinted>2021-05-25T13:42:00Z</cp:lastPrinted>
  <dcterms:created xsi:type="dcterms:W3CDTF">2025-06-19T12:05:00Z</dcterms:created>
  <dcterms:modified xsi:type="dcterms:W3CDTF">2025-07-29T11:28:00Z</dcterms:modified>
</cp:coreProperties>
</file>